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98" w:rsidRDefault="007D2298" w:rsidP="002D4462">
      <w:pPr>
        <w:ind w:firstLine="357"/>
        <w:jc w:val="both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>
        <w:rPr>
          <w:rFonts w:ascii="Sylfaen" w:hAnsi="Sylfaen" w:cs="Sylfaen"/>
          <w:b/>
          <w:noProof/>
          <w:color w:val="0D0D0D" w:themeColor="text1" w:themeTint="F2"/>
          <w:lang w:val="ka-GE"/>
        </w:rPr>
        <w:t>დანართი 1</w:t>
      </w: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ინფორმაცია</w:t>
      </w: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სახელმწიფო სასერტიფიკაციო გამოცდების</w:t>
      </w:r>
    </w:p>
    <w:p w:rsidR="00375CAB" w:rsidRPr="000E4AD1" w:rsidRDefault="00E96310" w:rsidP="002D4462">
      <w:pPr>
        <w:ind w:firstLine="357"/>
        <w:jc w:val="center"/>
        <w:rPr>
          <w:rFonts w:ascii="Sylfaen" w:hAnsi="Sylfaen" w:cs="Sylfaen"/>
          <w:noProof/>
          <w:color w:val="0D0D0D" w:themeColor="text1" w:themeTint="F2"/>
          <w:lang w:val="ka-GE"/>
        </w:rPr>
      </w:pPr>
      <w:r>
        <w:rPr>
          <w:rFonts w:ascii="Sylfaen" w:hAnsi="Sylfaen" w:cs="Sylfaen"/>
          <w:b/>
          <w:noProof/>
          <w:color w:val="0D0D0D" w:themeColor="text1" w:themeTint="F2"/>
          <w:lang w:val="ka-GE"/>
        </w:rPr>
        <w:t xml:space="preserve"> 2020</w:t>
      </w:r>
      <w:r w:rsidR="00375CAB"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 xml:space="preserve"> წლის სა</w:t>
      </w:r>
      <w:r>
        <w:rPr>
          <w:rFonts w:ascii="Sylfaen" w:hAnsi="Sylfaen" w:cs="Sylfaen"/>
          <w:b/>
          <w:noProof/>
          <w:color w:val="0D0D0D" w:themeColor="text1" w:themeTint="F2"/>
          <w:lang w:val="ka-GE"/>
        </w:rPr>
        <w:t>გაზაფხულო</w:t>
      </w:r>
      <w:r w:rsidR="00375CAB"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 xml:space="preserve"> სესიის თაობაზე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/>
          <w:noProof/>
          <w:color w:val="0D0D0D" w:themeColor="text1" w:themeTint="F2"/>
          <w:lang w:val="en-US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სახელმწიფო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სასერტიფიკაციო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გამოცდების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20</w:t>
      </w:r>
      <w:r w:rsidR="00E96310">
        <w:rPr>
          <w:rFonts w:ascii="Sylfaen" w:hAnsi="Sylfaen"/>
          <w:noProof/>
          <w:color w:val="0D0D0D" w:themeColor="text1" w:themeTint="F2"/>
          <w:lang w:val="ka-GE"/>
        </w:rPr>
        <w:t>20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წლის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სა</w:t>
      </w:r>
      <w:r w:rsidR="00E96310">
        <w:rPr>
          <w:rFonts w:ascii="Sylfaen" w:hAnsi="Sylfaen" w:cs="Sylfaen"/>
          <w:noProof/>
          <w:color w:val="0D0D0D" w:themeColor="text1" w:themeTint="F2"/>
          <w:lang w:val="ka-GE"/>
        </w:rPr>
        <w:t>გაზაფხულო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სესიისათვის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მაძიებელთა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განაცხადების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მიღება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იწარმოებს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.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წ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. </w:t>
      </w:r>
      <w:r w:rsidR="00E96310">
        <w:rPr>
          <w:rFonts w:ascii="Sylfaen" w:hAnsi="Sylfaen"/>
          <w:noProof/>
          <w:color w:val="0D0D0D" w:themeColor="text1" w:themeTint="F2"/>
          <w:lang w:val="ka-GE"/>
        </w:rPr>
        <w:t>7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– </w:t>
      </w:r>
      <w:r w:rsidR="00E96310">
        <w:rPr>
          <w:rFonts w:ascii="Sylfaen" w:hAnsi="Sylfaen"/>
          <w:noProof/>
          <w:color w:val="0D0D0D" w:themeColor="text1" w:themeTint="F2"/>
          <w:lang w:val="ka-GE"/>
        </w:rPr>
        <w:t>20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="00E96310">
        <w:rPr>
          <w:rFonts w:ascii="Sylfaen" w:hAnsi="Sylfaen"/>
          <w:noProof/>
          <w:color w:val="0D0D0D" w:themeColor="text1" w:themeTint="F2"/>
          <w:lang w:val="ka-GE"/>
        </w:rPr>
        <w:t>ივლისის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,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10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-18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სთ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>.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(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დასვენების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დღეების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გ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არდა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).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შესვენება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13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სთ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-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დან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 14</w:t>
      </w:r>
      <w:r w:rsidRPr="000E4AD1">
        <w:rPr>
          <w:rFonts w:ascii="Sylfaen" w:hAnsi="Sylfaen"/>
          <w:noProof/>
          <w:color w:val="0D0D0D" w:themeColor="text1" w:themeTint="F2"/>
          <w:vertAlign w:val="superscript"/>
          <w:lang w:val="en-US"/>
        </w:rPr>
        <w:t>00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სთ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>-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მდე</w:t>
      </w:r>
      <w:r w:rsidRPr="000E4AD1">
        <w:rPr>
          <w:rFonts w:ascii="Sylfaen" w:hAnsi="Sylfaen"/>
          <w:noProof/>
          <w:color w:val="0D0D0D" w:themeColor="text1" w:themeTint="F2"/>
          <w:lang w:val="en-US"/>
        </w:rPr>
        <w:t xml:space="preserve">. 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მის. თბილისი, ვაჟა–ფშაველას გამზ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.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29, სსიპ თბილისის სახელმწიფო სამედიცინო უნივერსიტეტის მე-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>3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კორპუსი, I სართული.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firstLine="357"/>
        <w:jc w:val="center"/>
        <w:rPr>
          <w:rFonts w:ascii="Sylfaen" w:hAnsi="Sylfaen" w:cs="Sylfaen"/>
          <w:b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lang w:val="ka-GE"/>
        </w:rPr>
        <w:t>წარმოსადგენი დოკუმენტაციის ნუსხა</w:t>
      </w:r>
    </w:p>
    <w:p w:rsidR="00375CAB" w:rsidRPr="000E4AD1" w:rsidRDefault="00375CAB" w:rsidP="002D4462">
      <w:pPr>
        <w:ind w:firstLine="357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</w:p>
    <w:p w:rsidR="00375CAB" w:rsidRPr="000E4AD1" w:rsidRDefault="00375CAB" w:rsidP="002D4462">
      <w:pPr>
        <w:numPr>
          <w:ilvl w:val="0"/>
          <w:numId w:val="2"/>
        </w:numPr>
        <w:tabs>
          <w:tab w:val="clear" w:pos="630"/>
          <w:tab w:val="num" w:pos="360"/>
        </w:tabs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>სა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>რეზიდენტ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>ო პროგრამა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>დამთავრებული მაძიებელი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 (უწყვეტი პროგრამით)</w:t>
      </w:r>
    </w:p>
    <w:p w:rsidR="00375CAB" w:rsidRPr="000E4AD1" w:rsidRDefault="00375CAB" w:rsidP="002D4462">
      <w:pPr>
        <w:ind w:left="360"/>
        <w:rPr>
          <w:rFonts w:ascii="Sylfaen" w:hAnsi="Sylfaen" w:cs="Sylfaen"/>
          <w:b/>
          <w:bCs/>
          <w:noProof/>
          <w:color w:val="0D0D0D" w:themeColor="text1" w:themeTint="F2"/>
        </w:rPr>
      </w:pPr>
    </w:p>
    <w:p w:rsidR="00375CAB" w:rsidRPr="000E4AD1" w:rsidRDefault="00375CAB" w:rsidP="002D4462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პირადობის დამადასტურებელი მოწმობა (დედანი და  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BE0930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BE0930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ასლი);</w:t>
      </w:r>
    </w:p>
    <w:p w:rsidR="00375CAB" w:rsidRPr="000E4AD1" w:rsidRDefault="00375CAB" w:rsidP="00BE0930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საკვალიფიკაციო გამოცდის ჩაბარების დამადასტურებელი მოწმობა (დედანი და ასლი);</w:t>
      </w:r>
    </w:p>
    <w:p w:rsidR="00132C85" w:rsidRPr="002F4E73" w:rsidRDefault="00375CAB" w:rsidP="00BE0930">
      <w:pPr>
        <w:numPr>
          <w:ilvl w:val="0"/>
          <w:numId w:val="1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სა</w:t>
      </w:r>
      <w:r w:rsidRPr="000E4AD1">
        <w:rPr>
          <w:rFonts w:ascii="Sylfaen" w:hAnsi="Sylfaen" w:cs="Sylfaen"/>
          <w:noProof/>
          <w:color w:val="0D0D0D" w:themeColor="text1" w:themeTint="F2"/>
        </w:rPr>
        <w:t>რეზიდენტ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ო პროგრამის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 დამთავრების დამადასტურებელი მოწმობა </w:t>
      </w:r>
      <w:r w:rsidR="000C7DA2">
        <w:rPr>
          <w:rFonts w:ascii="Sylfaen" w:hAnsi="Sylfaen" w:cs="Sylfaen"/>
          <w:noProof/>
          <w:color w:val="0D0D0D" w:themeColor="text1" w:themeTint="F2"/>
          <w:lang w:val="en-US"/>
        </w:rPr>
        <w:t>(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 xml:space="preserve">დედანი და 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ასლი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 xml:space="preserve">) </w:t>
      </w:r>
      <w:r w:rsidRPr="000E4AD1">
        <w:rPr>
          <w:rFonts w:ascii="Sylfaen" w:hAnsi="Sylfaen" w:cs="Sylfaen"/>
          <w:noProof/>
          <w:color w:val="0D0D0D" w:themeColor="text1" w:themeTint="F2"/>
        </w:rPr>
        <w:t>ან ცნობა რეზიდენტურის დამთავრების შესახებ</w:t>
      </w:r>
      <w:r w:rsidRPr="000E4AD1">
        <w:rPr>
          <w:rFonts w:ascii="Sylfaen" w:hAnsi="Sylfaen" w:cs="Sylfaen"/>
          <w:noProof/>
          <w:color w:val="0D0D0D" w:themeColor="text1" w:themeTint="F2"/>
          <w:lang w:val="en-US"/>
        </w:rPr>
        <w:t xml:space="preserve"> (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დედანი).</w:t>
      </w:r>
    </w:p>
    <w:p w:rsidR="00375CAB" w:rsidRPr="006354E2" w:rsidRDefault="002F4E73" w:rsidP="006354E2">
      <w:pPr>
        <w:pStyle w:val="ListParagraph"/>
        <w:numPr>
          <w:ilvl w:val="0"/>
          <w:numId w:val="3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</w:rPr>
      </w:pPr>
      <w:r w:rsidRPr="002F4E73">
        <w:rPr>
          <w:rFonts w:ascii="Sylfaen" w:hAnsi="Sylfaen" w:cs="Sylfaen"/>
          <w:noProof/>
          <w:color w:val="0D0D0D" w:themeColor="text1" w:themeTint="F2"/>
          <w:lang w:val="ka-GE"/>
        </w:rPr>
        <w:t>იმ შემთხვევაში, თუ სარეზიდენტო პროგრამის პროვაიდერების მიერ სააგენტოში არ იქნება გადმოგზავნილი კურსდამთავრებულთა სია, რეზიდენტებმა უნდა წარმოადგინონ შესაბამისი ცნობა</w:t>
      </w:r>
      <w:r w:rsidR="006354E2">
        <w:rPr>
          <w:rFonts w:ascii="Sylfaen" w:hAnsi="Sylfaen" w:cs="Sylfaen"/>
          <w:noProof/>
          <w:color w:val="0D0D0D" w:themeColor="text1" w:themeTint="F2"/>
          <w:lang w:val="ka-GE"/>
        </w:rPr>
        <w:t xml:space="preserve"> და </w:t>
      </w:r>
      <w:r w:rsidR="00132C85" w:rsidRPr="006354E2">
        <w:rPr>
          <w:rFonts w:ascii="Sylfaen" w:hAnsi="Sylfaen" w:cs="Sylfaen"/>
          <w:noProof/>
          <w:color w:val="0D0D0D" w:themeColor="text1" w:themeTint="F2"/>
          <w:lang w:val="ka-GE"/>
        </w:rPr>
        <w:t>ბრძანება სა</w:t>
      </w:r>
      <w:r w:rsidR="00132C85" w:rsidRPr="006354E2">
        <w:rPr>
          <w:rFonts w:ascii="Sylfaen" w:hAnsi="Sylfaen" w:cs="Sylfaen"/>
          <w:noProof/>
          <w:color w:val="0D0D0D" w:themeColor="text1" w:themeTint="F2"/>
        </w:rPr>
        <w:t>რეზიდენტ</w:t>
      </w:r>
      <w:r w:rsidR="00132C85" w:rsidRPr="006354E2">
        <w:rPr>
          <w:rFonts w:ascii="Sylfaen" w:hAnsi="Sylfaen" w:cs="Sylfaen"/>
          <w:noProof/>
          <w:color w:val="0D0D0D" w:themeColor="text1" w:themeTint="F2"/>
          <w:lang w:val="ka-GE"/>
        </w:rPr>
        <w:t>ო პროგრამაში ჩარიცხვისა და დამთავრების თაობაზე.</w:t>
      </w:r>
    </w:p>
    <w:p w:rsidR="00BE0930" w:rsidRDefault="00BE0930" w:rsidP="002D4462">
      <w:pPr>
        <w:ind w:left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ka-GE"/>
        </w:rPr>
      </w:pPr>
    </w:p>
    <w:p w:rsidR="00375CAB" w:rsidRPr="000E4AD1" w:rsidRDefault="00375CAB" w:rsidP="002D4462">
      <w:pPr>
        <w:ind w:left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  <w:t>შენიშვნა: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იმ სპეციალობაში, რომელსაც შეეცვალა დასახელება ან გაერთიანდა სხვა სპაციალობასთან - </w:t>
      </w:r>
      <w:r w:rsidRPr="000E4AD1">
        <w:rPr>
          <w:rFonts w:ascii="Sylfaen" w:hAnsi="Sylfaen" w:cs="Sylfaen"/>
          <w:noProof/>
          <w:color w:val="0D0D0D" w:themeColor="text1" w:themeTint="F2"/>
        </w:rPr>
        <w:t>რეზიდენტურის დამთავრების დამადასტურებელ მოწმობა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სთან ერთად უნდა წარმოადგინონ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მოქმედი სარეზიდენტო პროგრამის ავტორის ან დარგობრივი ასოციაციის რეკომენდაცია, სარეზიდენტო პროგრამასთან შესაბამისობის თაობაზე.</w:t>
      </w:r>
    </w:p>
    <w:p w:rsidR="00375CAB" w:rsidRDefault="00375CAB" w:rsidP="002D4462">
      <w:p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132C85" w:rsidRPr="000E4AD1" w:rsidRDefault="00132C85" w:rsidP="002D4462">
      <w:p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numPr>
          <w:ilvl w:val="0"/>
          <w:numId w:val="2"/>
        </w:numPr>
        <w:tabs>
          <w:tab w:val="clear" w:pos="630"/>
          <w:tab w:val="num" w:pos="720"/>
        </w:tabs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 xml:space="preserve">მაძიებელი, რომელმაც რეზიდენტურის პროგრამა დაასრულა </w:t>
      </w:r>
    </w:p>
    <w:p w:rsidR="00375CAB" w:rsidRDefault="00375CAB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წყვეტილი პროგრამით </w:t>
      </w:r>
    </w:p>
    <w:p w:rsidR="00E96310" w:rsidRPr="000E4AD1" w:rsidRDefault="00E96310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პირადობის დამადასტურებელი მოწმობა (დედანი და  ასლი);</w:t>
      </w: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 ასლი);</w:t>
      </w:r>
    </w:p>
    <w:p w:rsidR="00E9618A" w:rsidRDefault="00375CAB" w:rsidP="00BE0930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სარეზიდენტო პროგრამის შემადგენელი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მოდულების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(სრულად) გავლის დამადასტურებელი დოკუმენტები </w:t>
      </w:r>
      <w:r w:rsidR="000C7DA2"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(დედანი და 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ასლი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 xml:space="preserve">, </w:t>
      </w:r>
      <w:r w:rsidR="000C7DA2" w:rsidRPr="000E4AD1">
        <w:rPr>
          <w:rFonts w:ascii="Sylfaen" w:hAnsi="Sylfaen" w:cs="Sylfaen"/>
          <w:noProof/>
          <w:color w:val="0D0D0D" w:themeColor="text1" w:themeTint="F2"/>
          <w:lang w:val="it-IT"/>
        </w:rPr>
        <w:t>ან ცნობა)</w:t>
      </w:r>
    </w:p>
    <w:p w:rsidR="00375CAB" w:rsidRPr="00E9618A" w:rsidRDefault="00E9618A" w:rsidP="00BE0930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>
        <w:rPr>
          <w:rFonts w:ascii="Sylfaen" w:hAnsi="Sylfaen" w:cs="Sylfaen"/>
          <w:noProof/>
          <w:color w:val="0D0D0D" w:themeColor="text1" w:themeTint="F2"/>
          <w:lang w:val="ka-GE"/>
        </w:rPr>
        <w:lastRenderedPageBreak/>
        <w:t>იმ შემთხვევაში, თუ სარეზიდენტო პროგრამის პროვაიდერების მიერ სააგენტოში არ იქნება გადმოგზავნილი კურსდამთავრებულთა</w:t>
      </w:r>
      <w:r w:rsidR="002F4E73">
        <w:rPr>
          <w:rFonts w:ascii="Sylfaen" w:hAnsi="Sylfaen" w:cs="Sylfaen"/>
          <w:noProof/>
          <w:color w:val="0D0D0D" w:themeColor="text1" w:themeTint="F2"/>
          <w:lang w:val="ka-GE"/>
        </w:rPr>
        <w:t xml:space="preserve"> სია, 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>რეზიდენტებმა</w:t>
      </w:r>
      <w:r w:rsidR="002F4E73">
        <w:rPr>
          <w:rFonts w:ascii="Sylfaen" w:hAnsi="Sylfaen" w:cs="Sylfaen"/>
          <w:noProof/>
          <w:color w:val="0D0D0D" w:themeColor="text1" w:themeTint="F2"/>
          <w:lang w:val="ka-GE"/>
        </w:rPr>
        <w:t xml:space="preserve"> უნდა წარმოადგინონ შესაბამისი ცნობა.</w:t>
      </w:r>
    </w:p>
    <w:p w:rsidR="00375CAB" w:rsidRPr="000E4AD1" w:rsidRDefault="00375CAB" w:rsidP="00BE0930">
      <w:pPr>
        <w:numPr>
          <w:ilvl w:val="0"/>
          <w:numId w:val="12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ერთიანი დიპლომისშემდგომი საკვალიფიკაციო გამოცდის ჩაბარების დამადასტურებელი მოწმობა (დედანი და ასლი).</w:t>
      </w:r>
    </w:p>
    <w:p w:rsidR="00FA5342" w:rsidRDefault="00FA5342" w:rsidP="00FA5342">
      <w:pPr>
        <w:ind w:left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ka-GE"/>
        </w:rPr>
      </w:pPr>
    </w:p>
    <w:p w:rsidR="00FA5342" w:rsidRPr="00FA5342" w:rsidRDefault="00FA5342" w:rsidP="00FA5342">
      <w:pPr>
        <w:ind w:left="360" w:firstLine="360"/>
        <w:jc w:val="both"/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</w:pPr>
      <w:r w:rsidRPr="00FA5342"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  <w:t>შენიშვნა:</w:t>
      </w:r>
    </w:p>
    <w:p w:rsidR="00FA5342" w:rsidRPr="00FA5342" w:rsidRDefault="00FA5342" w:rsidP="00FA5342">
      <w:pPr>
        <w:ind w:left="360" w:firstLine="360"/>
        <w:jc w:val="both"/>
        <w:rPr>
          <w:rFonts w:ascii="Sylfaen" w:hAnsi="Sylfaen" w:cs="Sylfaen"/>
          <w:noProof/>
          <w:color w:val="0D0D0D" w:themeColor="text1" w:themeTint="F2"/>
        </w:rPr>
      </w:pP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 xml:space="preserve">იმ სპეციალობაში, რომელსაც შეეცვალა დასახელება ან გაერთიანდა სხვა სპაციალობასთან - </w:t>
      </w:r>
      <w:r w:rsidRPr="00FA5342">
        <w:rPr>
          <w:rFonts w:ascii="Sylfaen" w:hAnsi="Sylfaen" w:cs="Sylfaen"/>
          <w:noProof/>
          <w:color w:val="0D0D0D" w:themeColor="text1" w:themeTint="F2"/>
        </w:rPr>
        <w:t>რეზიდენტურის დამთავრების დამადასტურებელ მოწმობა</w:t>
      </w: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>სთან ერთად უნდა წარმოადგინონ</w:t>
      </w:r>
      <w:r w:rsidRPr="00FA5342">
        <w:rPr>
          <w:rFonts w:ascii="Sylfaen" w:hAnsi="Sylfaen" w:cs="Sylfaen"/>
          <w:noProof/>
          <w:color w:val="0D0D0D" w:themeColor="text1" w:themeTint="F2"/>
        </w:rPr>
        <w:t xml:space="preserve"> </w:t>
      </w: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>მოქმედი სარეზიდენტო პროგრამის ავტორის ან დარგობრივი ასოციაციის რეკომენდაცია, სარეზიდენტო პროგრამასთან შესაბამისობის თაობაზე.</w:t>
      </w:r>
    </w:p>
    <w:p w:rsidR="00375CAB" w:rsidRPr="000E4AD1" w:rsidRDefault="00375CAB" w:rsidP="002D4462">
      <w:pPr>
        <w:ind w:left="72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 xml:space="preserve">3. 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</w:rPr>
        <w:t>მომიჯნავე სპეციალობის მაძიებელი</w:t>
      </w:r>
    </w:p>
    <w:p w:rsidR="00375CAB" w:rsidRPr="000E4AD1" w:rsidRDefault="00375CAB" w:rsidP="002D4462">
      <w:pPr>
        <w:ind w:left="72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პირადობის დამადასტურებელი მოწმობა (დედანი და  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 ასლი);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სახელმწიფო სერტიფიკატი (დედანი და ასლი);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რეზიდენტურის შემოკლებული კურსის დამთავრების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დამადასტურებელი დოკუმენტი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(დედანი და 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ნოტარიულად დადასტურებული ასლი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)</w:t>
      </w:r>
      <w:r w:rsidR="007D2298">
        <w:rPr>
          <w:rFonts w:ascii="Sylfaen" w:hAnsi="Sylfaen" w:cs="Sylfaen"/>
          <w:noProof/>
          <w:color w:val="0D0D0D" w:themeColor="text1" w:themeTint="F2"/>
          <w:lang w:val="ka-GE"/>
        </w:rPr>
        <w:t xml:space="preserve"> ან შესაბამისი ცნობა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;</w:t>
      </w:r>
    </w:p>
    <w:p w:rsidR="00132C85" w:rsidRPr="00132C85" w:rsidRDefault="00FA5342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პროგრამის ავტორის მიერ განსაზღვრული გადამზადების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ინდივიდუალური </w:t>
      </w:r>
      <w:r w:rsidRPr="000E4AD1">
        <w:rPr>
          <w:rFonts w:ascii="Sylfaen" w:hAnsi="Sylfaen" w:cs="Sylfaen"/>
          <w:noProof/>
          <w:color w:val="0D0D0D" w:themeColor="text1" w:themeTint="F2"/>
          <w:u w:val="single"/>
          <w:lang w:val="ka-GE"/>
        </w:rPr>
        <w:t>გეგმა-გრაფიკი</w:t>
      </w:r>
      <w:r w:rsidRPr="00FA5342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და </w:t>
      </w:r>
      <w:r w:rsidR="00375CAB" w:rsidRPr="000E4AD1">
        <w:rPr>
          <w:rFonts w:ascii="Sylfaen" w:hAnsi="Sylfaen" w:cs="Sylfaen"/>
          <w:noProof/>
          <w:color w:val="0D0D0D" w:themeColor="text1" w:themeTint="F2"/>
          <w:lang w:val="ka-GE"/>
        </w:rPr>
        <w:t>პროფესიული განვითარების საბჭოს გადაწყვეტილებ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 xml:space="preserve">ის </w:t>
      </w:r>
      <w:r w:rsidR="00375CAB"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დამადასტურებელი </w:t>
      </w:r>
      <w:r w:rsidR="00BE0930">
        <w:rPr>
          <w:rFonts w:ascii="Sylfaen" w:hAnsi="Sylfaen" w:cs="Sylfaen"/>
          <w:noProof/>
          <w:color w:val="0D0D0D" w:themeColor="text1" w:themeTint="F2"/>
          <w:lang w:val="ka-GE"/>
        </w:rPr>
        <w:t>დოკუმენტი (წერილი)</w:t>
      </w:r>
      <w:r w:rsidR="00613E5C">
        <w:rPr>
          <w:rFonts w:ascii="Sylfaen" w:hAnsi="Sylfaen" w:cs="Sylfaen"/>
          <w:noProof/>
          <w:color w:val="0D0D0D" w:themeColor="text1" w:themeTint="F2"/>
          <w:lang w:val="ka-GE"/>
        </w:rPr>
        <w:t>;</w:t>
      </w:r>
    </w:p>
    <w:p w:rsidR="00375CAB" w:rsidRPr="000E4AD1" w:rsidRDefault="00375CAB" w:rsidP="002D4462">
      <w:pPr>
        <w:numPr>
          <w:ilvl w:val="0"/>
          <w:numId w:val="5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შრომითი ურთიერთობის დამადასტურებელი დოკუმენტი (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 xml:space="preserve">შრომის წიგნაკის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დედანი და </w:t>
      </w:r>
      <w:r w:rsidR="000C7DA2">
        <w:rPr>
          <w:rFonts w:ascii="Sylfaen" w:hAnsi="Sylfaen" w:cs="Sylfaen"/>
          <w:noProof/>
          <w:color w:val="0D0D0D" w:themeColor="text1" w:themeTint="F2"/>
          <w:lang w:val="ka-GE"/>
        </w:rPr>
        <w:t>ასლი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,</w:t>
      </w:r>
      <w:r w:rsidR="00EE2B44">
        <w:rPr>
          <w:rFonts w:ascii="Sylfaen" w:hAnsi="Sylfaen" w:cs="Sylfaen"/>
          <w:noProof/>
          <w:color w:val="0D0D0D" w:themeColor="text1" w:themeTint="F2"/>
          <w:lang w:val="ka-GE"/>
        </w:rPr>
        <w:t xml:space="preserve"> დადასტურებული ნოტარიალურად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,</w:t>
      </w:r>
      <w:r w:rsidR="00EE2B44">
        <w:rPr>
          <w:rFonts w:ascii="Sylfaen" w:hAnsi="Sylfaen" w:cs="Sylfaen"/>
          <w:noProof/>
          <w:color w:val="0D0D0D" w:themeColor="text1" w:themeTint="F2"/>
          <w:lang w:val="ka-GE"/>
        </w:rPr>
        <w:t xml:space="preserve"> ჩანაწერით: ასლი დედანთან სწორია</w:t>
      </w:r>
      <w:r w:rsidR="00FA5342">
        <w:rPr>
          <w:rFonts w:ascii="Sylfaen" w:hAnsi="Sylfaen" w:cs="Sylfaen"/>
          <w:noProof/>
          <w:color w:val="0D0D0D" w:themeColor="text1" w:themeTint="F2"/>
          <w:lang w:val="ka-GE"/>
        </w:rPr>
        <w:t>/ ცნობა, დანიშვნის ბრძანების მითითებით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).</w:t>
      </w:r>
    </w:p>
    <w:p w:rsidR="00375CAB" w:rsidRPr="000E4AD1" w:rsidRDefault="00375CAB" w:rsidP="002D4462">
      <w:pPr>
        <w:ind w:left="708"/>
        <w:rPr>
          <w:rFonts w:ascii="Sylfaen" w:hAnsi="Sylfaen" w:cs="Sylfaen"/>
          <w:noProof/>
          <w:color w:val="0D0D0D" w:themeColor="text1" w:themeTint="F2"/>
          <w:lang w:val="ka-GE"/>
        </w:rPr>
      </w:pPr>
    </w:p>
    <w:p w:rsidR="00375CAB" w:rsidRPr="000E4AD1" w:rsidRDefault="00375CAB" w:rsidP="002D4462">
      <w:pPr>
        <w:ind w:left="708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u w:val="single"/>
          <w:lang w:val="it-IT"/>
        </w:rPr>
        <w:t>შენიშვნა: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სპეციალობებში: </w:t>
      </w:r>
      <w:r w:rsidRPr="000E4AD1">
        <w:rPr>
          <w:rFonts w:ascii="Sylfaen" w:hAnsi="Sylfaen" w:cs="Sylfaen"/>
          <w:noProof/>
          <w:color w:val="0D0D0D" w:themeColor="text1" w:themeTint="F2"/>
          <w:u w:val="single"/>
          <w:lang w:val="ka-GE"/>
        </w:rPr>
        <w:t>„საოჯახო მედიცინა“, „გადაუდებელი მედიცინა“ და „ბავშვთა გადაუდებელი მედიცინა“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- გადამზადება მიმდინარეობს უნიფიცირებული პროგრამით</w:t>
      </w:r>
      <w:r w:rsidR="0054452E">
        <w:rPr>
          <w:rFonts w:ascii="Sylfaen" w:hAnsi="Sylfaen" w:cs="Sylfaen"/>
          <w:noProof/>
          <w:color w:val="0D0D0D" w:themeColor="text1" w:themeTint="F2"/>
          <w:lang w:val="ka-GE"/>
        </w:rPr>
        <w:t>. სავალდებულოა ძირითად სპეციალობაში მუშაობის სტაჟის დამადასტურებელი დოკუმენტი, ან ცნობა (მისი დანიშვნის ბრძანების მითითებით)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; </w:t>
      </w:r>
    </w:p>
    <w:p w:rsidR="00FA5342" w:rsidRDefault="00375CAB" w:rsidP="002D4462">
      <w:pPr>
        <w:ind w:firstLine="360"/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მუშაობის მინიმალური სტაჟი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: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ზოგადი პროფილის ექიმი-მკურნალი, სამხედრო ექიმი და ზოგადი პროფილის ექიმი პედიატრი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–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3 წელი;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ზოგადი პროფილის ექიმი-სტომატოლოგი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1 წელი</w:t>
      </w:r>
      <w:r w:rsidR="00FA5342">
        <w:rPr>
          <w:rFonts w:ascii="Sylfaen" w:hAnsi="Sylfaen" w:cs="Sylfaen"/>
          <w:iCs/>
          <w:noProof/>
          <w:color w:val="0D0D0D" w:themeColor="text1" w:themeTint="F2"/>
          <w:lang w:val="ka-GE"/>
        </w:rPr>
        <w:t>;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ზოგადი პროფილის ექიმი-ლაბორანტი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–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2 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წელი</w:t>
      </w: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;</w:t>
      </w:r>
      <w:r w:rsidR="00FA5342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ზოგადი პროფილის ექიმი-</w:t>
      </w:r>
      <w:r w:rsidR="00FA5342">
        <w:rPr>
          <w:rFonts w:ascii="Sylfaen" w:hAnsi="Sylfaen" w:cs="Sylfaen"/>
          <w:iCs/>
          <w:noProof/>
          <w:color w:val="0D0D0D" w:themeColor="text1" w:themeTint="F2"/>
          <w:lang w:val="ka-GE"/>
        </w:rPr>
        <w:t>ფსიქოთერაპევტი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 –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 xml:space="preserve"> 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2 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it-IT"/>
        </w:rPr>
        <w:t>წელი</w:t>
      </w:r>
      <w:r w:rsidR="00FA5342"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;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 xml:space="preserve">სხვა სპეციალობებში - არანაკლებ 5 წლის სამუშაო სტაჟი; 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iCs/>
          <w:noProof/>
          <w:color w:val="0D0D0D" w:themeColor="text1" w:themeTint="F2"/>
          <w:lang w:val="ka-GE"/>
        </w:rPr>
        <w:t>სპეციალობებში: „ბავშვთა გადაუდებელი მედიცინა“ და „გადაუდებელი მედიცინა“ არანაკლებ 3 წლის ხანგრძლივობის სტაჟი.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iCs/>
          <w:noProof/>
          <w:color w:val="0D0D0D" w:themeColor="text1" w:themeTint="F2"/>
          <w:lang w:val="ka-GE"/>
        </w:rPr>
      </w:pPr>
    </w:p>
    <w:p w:rsidR="00613E5C" w:rsidRDefault="00613E5C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</w:p>
    <w:p w:rsidR="00E96310" w:rsidRDefault="00E96310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bookmarkStart w:id="0" w:name="_GoBack"/>
      <w:bookmarkEnd w:id="0"/>
    </w:p>
    <w:p w:rsidR="00375CAB" w:rsidRPr="000E4AD1" w:rsidRDefault="00375CAB" w:rsidP="002D4462">
      <w:pPr>
        <w:ind w:left="360"/>
        <w:jc w:val="center"/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lastRenderedPageBreak/>
        <w:t xml:space="preserve">4.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sv-SE"/>
        </w:rPr>
        <w:t>ექიმი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ka-GE"/>
        </w:rPr>
        <w:t>–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lang w:val="sv-SE"/>
        </w:rPr>
        <w:t>სპეციალისტები</w:t>
      </w:r>
    </w:p>
    <w:p w:rsidR="00375CAB" w:rsidRPr="000E4AD1" w:rsidRDefault="00375CAB" w:rsidP="002D4462">
      <w:pPr>
        <w:pStyle w:val="ListParagraph"/>
        <w:spacing w:after="0"/>
        <w:ind w:left="2340"/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</w:pP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პირადობის დამადასტურებელი მოწმობა (დედანი და 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</w:rPr>
        <w:t>2 ფოტოსურათი (3 × 4);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უმაღლესი სამედიცინო განათლების დამადასტურებელი დოკუმენტი (</w:t>
      </w:r>
      <w:r w:rsidRPr="000E4AD1">
        <w:rPr>
          <w:rFonts w:ascii="Sylfaen" w:hAnsi="Sylfaen" w:cs="Sylfaen"/>
          <w:noProof/>
          <w:color w:val="0D0D0D" w:themeColor="text1" w:themeTint="F2"/>
        </w:rPr>
        <w:t xml:space="preserve">დიპლომი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– </w:t>
      </w:r>
      <w:r w:rsidRPr="000E4AD1">
        <w:rPr>
          <w:rFonts w:ascii="Sylfaen" w:hAnsi="Sylfaen" w:cs="Sylfaen"/>
          <w:noProof/>
          <w:color w:val="0D0D0D" w:themeColor="text1" w:themeTint="F2"/>
        </w:rPr>
        <w:t>დედანი და   ასლი);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  <w:lang w:val="it-IT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დიპლომისშემდგომი განათლების (ინტერნატურა, ორდინატურა, ასპირანტურა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ან სპეციალიზაციის გავლის დამადასტურებელი 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დოკუმენტი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(დედანი და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>ნოტარიულად დამოწმებული</w:t>
      </w:r>
      <w:r w:rsidR="00940DA2" w:rsidRPr="000E4AD1">
        <w:rPr>
          <w:rFonts w:ascii="Sylfaen" w:hAnsi="Sylfaen" w:cs="Sylfaen"/>
          <w:noProof/>
          <w:color w:val="0D0D0D" w:themeColor="text1" w:themeTint="F2"/>
          <w:lang w:val="it-IT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lang w:val="it-IT"/>
        </w:rPr>
        <w:t>ასლი);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noProof/>
          <w:color w:val="0D0D0D" w:themeColor="text1" w:themeTint="F2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შრომითი ურთიერთობის დამადასტურებელი დოკუმენტი (დედანი და ნოტარიულად დამოწმებული ასლი, ჩანაწერით: ასლი დედანთან სწორია</w:t>
      </w:r>
      <w:r w:rsidR="007C35C1">
        <w:rPr>
          <w:rFonts w:ascii="Sylfaen" w:hAnsi="Sylfaen" w:cs="Sylfaen"/>
          <w:noProof/>
          <w:color w:val="0D0D0D" w:themeColor="text1" w:themeTint="F2"/>
          <w:lang w:val="ka-GE"/>
        </w:rPr>
        <w:t xml:space="preserve"> 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 xml:space="preserve">ან და ცნობა </w:t>
      </w:r>
      <w:r w:rsidR="007C35C1">
        <w:rPr>
          <w:rFonts w:ascii="Sylfaen" w:hAnsi="Sylfaen" w:cs="Sylfaen"/>
          <w:noProof/>
          <w:color w:val="0D0D0D" w:themeColor="text1" w:themeTint="F2"/>
          <w:lang w:val="ka-GE"/>
        </w:rPr>
        <w:t xml:space="preserve">სამუშაო ადგოლიდან </w:t>
      </w:r>
      <w:r w:rsidR="00940DA2">
        <w:rPr>
          <w:rFonts w:ascii="Sylfaen" w:hAnsi="Sylfaen" w:cs="Sylfaen"/>
          <w:noProof/>
          <w:color w:val="0D0D0D" w:themeColor="text1" w:themeTint="F2"/>
          <w:lang w:val="ka-GE"/>
        </w:rPr>
        <w:t>ბრძანების ნომრის მითითებით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);</w:t>
      </w:r>
    </w:p>
    <w:p w:rsidR="00375CAB" w:rsidRPr="000E4AD1" w:rsidRDefault="00375CAB" w:rsidP="002D4462">
      <w:pPr>
        <w:numPr>
          <w:ilvl w:val="0"/>
          <w:numId w:val="6"/>
        </w:numPr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პროფესიული რეაბილიტაციის ციკლის გავლის დამადასტურებელი დოკუმენტი (დედანი და ასლი)</w:t>
      </w:r>
      <w:r w:rsidR="002D4462">
        <w:rPr>
          <w:rFonts w:ascii="Sylfaen" w:hAnsi="Sylfaen" w:cs="Sylfaen"/>
          <w:noProof/>
          <w:color w:val="0D0D0D" w:themeColor="text1" w:themeTint="F2"/>
          <w:lang w:val="ka-GE"/>
        </w:rPr>
        <w:t xml:space="preserve"> ან შესაბამისი ცნობა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>.</w:t>
      </w:r>
    </w:p>
    <w:p w:rsidR="00375CAB" w:rsidRPr="000E4AD1" w:rsidRDefault="00375CAB" w:rsidP="002D4462">
      <w:pPr>
        <w:ind w:left="720"/>
        <w:jc w:val="both"/>
        <w:rPr>
          <w:rFonts w:ascii="Sylfaen" w:hAnsi="Sylfaen" w:cs="Sylfaen"/>
          <w:noProof/>
          <w:color w:val="0D0D0D" w:themeColor="text1" w:themeTint="F2"/>
          <w:lang w:val="en-US"/>
        </w:rPr>
      </w:pPr>
    </w:p>
    <w:p w:rsidR="00375CAB" w:rsidRPr="000E4AD1" w:rsidRDefault="00375CAB" w:rsidP="002D4462">
      <w:pPr>
        <w:ind w:firstLine="357"/>
        <w:jc w:val="both"/>
        <w:rPr>
          <w:rFonts w:ascii="Sylfaen" w:hAnsi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/>
          <w:noProof/>
          <w:color w:val="0D0D0D" w:themeColor="text1" w:themeTint="F2"/>
          <w:lang w:val="ka-GE"/>
        </w:rPr>
        <w:t>შენიშვნა:</w:t>
      </w:r>
    </w:p>
    <w:p w:rsidR="00375CAB" w:rsidRPr="000E4AD1" w:rsidRDefault="00375CAB" w:rsidP="002D4462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სახელმწიფო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სასერტიფიკაციო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გამოცდაზე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დაშვებული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იქნებიან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მაძიებლები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,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რომლებსაც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შესაბამისი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სპეციალობით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="002D4462" w:rsidRPr="00840462">
        <w:rPr>
          <w:rFonts w:ascii="Sylfaen" w:hAnsi="Sylfaen"/>
          <w:color w:val="0D0D0D"/>
          <w:sz w:val="24"/>
          <w:szCs w:val="24"/>
          <w:lang w:val="ka-GE"/>
        </w:rPr>
        <w:t>3-5 წლამდე სტაჟის წყვეტის შემთხვევაში, მოეთხოვებათ 1-თვიანი პროფესიული რეაბილიტაციის კურსის გავლა,</w:t>
      </w:r>
      <w:r w:rsidR="002D4462">
        <w:rPr>
          <w:rFonts w:ascii="Sylfaen" w:hAnsi="Sylfaen"/>
          <w:color w:val="0D0D0D"/>
          <w:sz w:val="24"/>
          <w:szCs w:val="24"/>
          <w:lang w:val="ka-GE"/>
        </w:rPr>
        <w:t xml:space="preserve"> 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5-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დან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10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წლამდე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სტაჟის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წყვეტისას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გავლილი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აქვთ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2</w:t>
      </w:r>
      <w:r w:rsidR="002D4462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-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თვიანი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პროფესიული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რეაბილიტაციის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ციკლი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, 10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წელზე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მეტი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წყვეტისას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– 5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თვის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ხანგრძლივობის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რეაბილიტაციის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ციკლი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. </w:t>
      </w:r>
    </w:p>
    <w:p w:rsidR="00375CAB" w:rsidRPr="000E4AD1" w:rsidRDefault="00375CAB" w:rsidP="002D4462">
      <w:pPr>
        <w:pStyle w:val="ListParagraph"/>
        <w:numPr>
          <w:ilvl w:val="0"/>
          <w:numId w:val="15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>იმ სპეციალობებში, რომლებიც გაერთიანდა ან შეეცვალა დასახელება, დამატებით უნდა წარმოადგინონ შესაბამისი სარეზიდენტო პროგრამის ავტორის რეკომენდაცია.</w:t>
      </w:r>
    </w:p>
    <w:p w:rsidR="00375CAB" w:rsidRPr="000E4AD1" w:rsidRDefault="00375CAB" w:rsidP="002D4462">
      <w:pPr>
        <w:ind w:firstLine="357"/>
        <w:jc w:val="both"/>
        <w:rPr>
          <w:rFonts w:ascii="Sylfaen" w:hAnsi="Sylfaen"/>
          <w:b/>
          <w:noProof/>
          <w:color w:val="0D0D0D" w:themeColor="text1" w:themeTint="F2"/>
          <w:lang w:val="ka-GE"/>
        </w:rPr>
      </w:pPr>
    </w:p>
    <w:p w:rsidR="00246EAB" w:rsidRDefault="00375CAB" w:rsidP="00246EAB">
      <w:pPr>
        <w:pStyle w:val="ListParagraph"/>
        <w:numPr>
          <w:ilvl w:val="0"/>
          <w:numId w:val="32"/>
        </w:numPr>
        <w:spacing w:after="0"/>
        <w:jc w:val="center"/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it-IT"/>
        </w:rPr>
        <w:t>უცხო ქვეყანაში დიპლომისშემდგომი მზადების</w:t>
      </w:r>
    </w:p>
    <w:p w:rsidR="00375CAB" w:rsidRPr="000E4AD1" w:rsidRDefault="00375CAB" w:rsidP="00246EAB">
      <w:pPr>
        <w:pStyle w:val="ListParagraph"/>
        <w:spacing w:after="0"/>
        <w:jc w:val="center"/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>(</w:t>
      </w:r>
      <w:r w:rsidR="007C35C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 xml:space="preserve">მათ შორის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>კლინიკური ორდინატურა)</w:t>
      </w:r>
      <w:r w:rsidR="007C35C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b/>
          <w:bCs/>
          <w:noProof/>
          <w:color w:val="0D0D0D" w:themeColor="text1" w:themeTint="F2"/>
          <w:sz w:val="24"/>
          <w:szCs w:val="24"/>
          <w:lang w:val="it-IT"/>
        </w:rPr>
        <w:t>მქონე მაძიებელი</w:t>
      </w:r>
    </w:p>
    <w:p w:rsidR="00375CAB" w:rsidRPr="000E4AD1" w:rsidRDefault="00375CAB" w:rsidP="002D4462">
      <w:pPr>
        <w:pStyle w:val="ListParagraph"/>
        <w:numPr>
          <w:ilvl w:val="0"/>
          <w:numId w:val="29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პასპორტი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 xml:space="preserve"> (დედანი და  ასლი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ს სრული ვარიანტი,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ნოტარიულად დამოწმებული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 ჩანაწერით: ასლი დედანთან სწორია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);</w:t>
      </w:r>
    </w:p>
    <w:p w:rsidR="00375CAB" w:rsidRPr="000E4AD1" w:rsidRDefault="00375CAB" w:rsidP="002D4462">
      <w:pPr>
        <w:pStyle w:val="ListParagraph"/>
        <w:numPr>
          <w:ilvl w:val="0"/>
          <w:numId w:val="29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</w:rPr>
        <w:t>2 ფოტოსურათი (3 × 4);</w:t>
      </w:r>
    </w:p>
    <w:p w:rsidR="00375CAB" w:rsidRPr="000E4AD1" w:rsidRDefault="00375CAB" w:rsidP="002D4462">
      <w:pPr>
        <w:pStyle w:val="ListParagraph"/>
        <w:numPr>
          <w:ilvl w:val="0"/>
          <w:numId w:val="29"/>
        </w:numPr>
        <w:spacing w:after="0"/>
        <w:jc w:val="both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უმაღლესი სამედიცინო განათლების დამადასტურებელი დოკუმენტი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(დედანი და ასლი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>);</w:t>
      </w:r>
    </w:p>
    <w:p w:rsidR="00375CAB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353535"/>
          <w:bdr w:val="none" w:sz="0" w:space="0" w:color="auto" w:frame="1"/>
          <w:lang w:val="ka-GE"/>
        </w:rPr>
      </w:pP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დიპლომისშემდგომი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განათლების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კლ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.</w:t>
      </w:r>
      <w:r w:rsidR="007C35C1">
        <w:rPr>
          <w:rFonts w:ascii="Sylfaen" w:hAnsi="Sylfaen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ორდინატურა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/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ასპირანტურა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)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დამადასტურებელი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დოკუმენტი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აპოსტილით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ლეგალიზებული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;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ასევე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განათლების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დამადასტურებელი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დოკუმენტის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თარგმანი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ნოტარიალურად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რომელიც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ადასტურებს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დედნის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ასლთან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შესაბამისობას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);</w:t>
      </w:r>
    </w:p>
    <w:p w:rsidR="00375CAB" w:rsidRPr="000E4AD1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353535"/>
          <w:bdr w:val="none" w:sz="0" w:space="0" w:color="auto" w:frame="1"/>
          <w:lang w:val="ka-GE"/>
        </w:rPr>
      </w:pP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სათანადო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სასწავლო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გეგმა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/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დეტალური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სამუშაო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ანგარიში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უფლებამოსილი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პირის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მიერ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მისი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თარგმანი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ნოტარიულად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რომელიც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ადასტურებს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ასლის დედნთან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შესაბამისობას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)</w:t>
      </w:r>
      <w:r w:rsidR="002D4462">
        <w:rPr>
          <w:rFonts w:ascii="Sylfaen" w:hAnsi="Sylfaen"/>
          <w:color w:val="353535"/>
          <w:bdr w:val="none" w:sz="0" w:space="0" w:color="auto" w:frame="1"/>
          <w:lang w:val="ka-GE"/>
        </w:rPr>
        <w:t xml:space="preserve"> ან შესაბამისი ცნობა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;</w:t>
      </w:r>
    </w:p>
    <w:p w:rsidR="00375CAB" w:rsidRPr="000E4AD1" w:rsidRDefault="00375CAB" w:rsidP="002D4462">
      <w:pPr>
        <w:numPr>
          <w:ilvl w:val="0"/>
          <w:numId w:val="29"/>
        </w:numPr>
        <w:jc w:val="both"/>
        <w:rPr>
          <w:rFonts w:ascii="Sylfaen" w:hAnsi="Sylfaen" w:cs="Sylfaen"/>
          <w:noProof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ერთიანი დიპლომისშემდგომი საკვალიფიკაციო გამოცდის ჩაბარების დამადასტურებელი მოწმობა (დედანი და ასლი)</w:t>
      </w:r>
      <w:r>
        <w:rPr>
          <w:rFonts w:ascii="Sylfaen" w:hAnsi="Sylfaen" w:cs="Sylfaen"/>
          <w:noProof/>
          <w:color w:val="0D0D0D" w:themeColor="text1" w:themeTint="F2"/>
          <w:lang w:val="ka-GE"/>
        </w:rPr>
        <w:t>;</w:t>
      </w:r>
    </w:p>
    <w:p w:rsidR="00375CAB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353535"/>
          <w:bdr w:val="none" w:sz="0" w:space="0" w:color="auto" w:frame="1"/>
          <w:lang w:val="ka-GE"/>
        </w:rPr>
      </w:pPr>
      <w:r w:rsidRPr="000E4AD1">
        <w:rPr>
          <w:rFonts w:ascii="Sylfaen" w:hAnsi="Sylfaen"/>
          <w:color w:val="353535"/>
          <w:bdr w:val="none" w:sz="0" w:space="0" w:color="auto" w:frame="1"/>
          <w:lang w:val="ka-GE"/>
        </w:rPr>
        <w:lastRenderedPageBreak/>
        <w:t xml:space="preserve">დამატებითი მზადების პროგრამის გავლის დამადასტურებელი დოკუმენტი  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(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ნოტარიულად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დამოწმებული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,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რომელიც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ადასტურებს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ასლის დედ</w:t>
      </w:r>
      <w:r w:rsidR="00613E5C">
        <w:rPr>
          <w:rFonts w:ascii="Sylfaen" w:hAnsi="Sylfaen" w:cs="Sylfaen"/>
          <w:color w:val="353535"/>
          <w:bdr w:val="none" w:sz="0" w:space="0" w:color="auto" w:frame="1"/>
          <w:lang w:val="ka-GE"/>
        </w:rPr>
        <w:t>ა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ნთან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შესაბამისობას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)</w:t>
      </w:r>
      <w:r w:rsidR="00634E26">
        <w:rPr>
          <w:rFonts w:ascii="Sylfaen" w:hAnsi="Sylfaen"/>
          <w:color w:val="353535"/>
          <w:bdr w:val="none" w:sz="0" w:space="0" w:color="auto" w:frame="1"/>
          <w:lang w:val="ka-GE"/>
        </w:rPr>
        <w:t xml:space="preserve"> ან შესაბამისი ცნობა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>;</w:t>
      </w:r>
    </w:p>
    <w:p w:rsidR="00375CAB" w:rsidRPr="007A1BC9" w:rsidRDefault="00375CAB" w:rsidP="002D4462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color w:val="002060"/>
          <w:lang w:val="ka-GE"/>
        </w:rPr>
      </w:pPr>
      <w:r w:rsidRPr="007A1BC9">
        <w:rPr>
          <w:rFonts w:ascii="Sylfaen" w:hAnsi="Sylfaen"/>
          <w:color w:val="353535"/>
          <w:bdr w:val="none" w:sz="0" w:space="0" w:color="auto" w:frame="1"/>
          <w:lang w:val="ka-GE"/>
        </w:rPr>
        <w:t>სამედიცინო საქმიანობის სახელმწიფო რეგულირების სააგენტოს მიერ გაცემული დასტური</w:t>
      </w:r>
      <w:r w:rsidR="00634E26">
        <w:rPr>
          <w:rFonts w:ascii="Sylfaen" w:hAnsi="Sylfaen"/>
          <w:color w:val="353535"/>
          <w:bdr w:val="none" w:sz="0" w:space="0" w:color="auto" w:frame="1"/>
          <w:lang w:val="ka-GE"/>
        </w:rPr>
        <w:t>,</w:t>
      </w:r>
      <w:r w:rsidRPr="007A1BC9">
        <w:rPr>
          <w:rFonts w:ascii="Sylfaen" w:hAnsi="Sylfaen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დიპლომისშემდგომი</w:t>
      </w:r>
      <w:r w:rsidRPr="000E4AD1">
        <w:rPr>
          <w:rFonts w:ascii="BPGDejaVuSans" w:hAnsi="BPGDejaVuSans"/>
          <w:color w:val="353535"/>
          <w:bdr w:val="none" w:sz="0" w:space="0" w:color="auto" w:frame="1"/>
          <w:lang w:val="ka-GE"/>
        </w:rPr>
        <w:t xml:space="preserve"> </w:t>
      </w:r>
      <w:r w:rsidRPr="000E4AD1">
        <w:rPr>
          <w:rFonts w:ascii="Sylfaen" w:hAnsi="Sylfaen" w:cs="Sylfaen"/>
          <w:color w:val="353535"/>
          <w:bdr w:val="none" w:sz="0" w:space="0" w:color="auto" w:frame="1"/>
          <w:lang w:val="ka-GE"/>
        </w:rPr>
        <w:t>განათლების</w:t>
      </w:r>
      <w:r w:rsidR="00634E26">
        <w:rPr>
          <w:rFonts w:ascii="Sylfaen" w:hAnsi="Sylfaen" w:cs="Sylfaen"/>
          <w:color w:val="353535"/>
          <w:bdr w:val="none" w:sz="0" w:space="0" w:color="auto" w:frame="1"/>
          <w:lang w:val="ka-GE"/>
        </w:rPr>
        <w:t xml:space="preserve"> დამადასტურებელი დოკუმენტის </w:t>
      </w:r>
      <w:r>
        <w:rPr>
          <w:rFonts w:ascii="Sylfaen" w:hAnsi="Sylfaen" w:cs="Sylfaen"/>
          <w:color w:val="353535"/>
          <w:bdr w:val="none" w:sz="0" w:space="0" w:color="auto" w:frame="1"/>
          <w:lang w:val="ka-GE"/>
        </w:rPr>
        <w:t>აღიარების შესახებ.</w:t>
      </w:r>
    </w:p>
    <w:p w:rsidR="00375CAB" w:rsidRPr="007A1BC9" w:rsidRDefault="00375CAB" w:rsidP="002D446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ylfaen" w:hAnsi="Sylfaen" w:cs="Sylfaen"/>
          <w:color w:val="002060"/>
          <w:lang w:val="ka-GE"/>
        </w:rPr>
      </w:pPr>
    </w:p>
    <w:p w:rsidR="00375CAB" w:rsidRPr="000E4AD1" w:rsidRDefault="00375CAB" w:rsidP="002D4462">
      <w:pPr>
        <w:pStyle w:val="ListParagraph"/>
        <w:numPr>
          <w:ilvl w:val="0"/>
          <w:numId w:val="12"/>
        </w:numPr>
        <w:spacing w:after="0"/>
        <w:jc w:val="center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b/>
          <w:noProof/>
          <w:color w:val="0D0D0D" w:themeColor="text1" w:themeTint="F2"/>
          <w:sz w:val="24"/>
          <w:szCs w:val="24"/>
          <w:lang w:val="ka-GE"/>
        </w:rPr>
        <w:t>სპეციალობა</w:t>
      </w:r>
      <w:r w:rsidRPr="000E4AD1">
        <w:rPr>
          <w:rFonts w:ascii="Sylfaen" w:hAnsi="Sylfaen"/>
          <w:b/>
          <w:noProof/>
          <w:color w:val="0D0D0D" w:themeColor="text1" w:themeTint="F2"/>
          <w:sz w:val="24"/>
          <w:szCs w:val="24"/>
          <w:lang w:val="ka-GE"/>
        </w:rPr>
        <w:t xml:space="preserve"> „გადაუდებელი მედიცინა“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b/>
          <w:bCs/>
          <w:color w:val="0D0D0D" w:themeColor="text1" w:themeTint="F2"/>
          <w:lang w:val="ka-GE"/>
        </w:rPr>
        <w:t>სპეციალობებში „ანესთეზიოლოგია“, „ანესთეზიოლოგია–რეანიმატოლოგია“ და „კრიტიკული მედიცინა“</w:t>
      </w:r>
      <w:r w:rsidRPr="000E4AD1">
        <w:rPr>
          <w:rFonts w:ascii="Sylfaen" w:hAnsi="Sylfaen" w:cs="Sylfaen"/>
          <w:bCs/>
          <w:color w:val="0D0D0D" w:themeColor="text1" w:themeTint="F2"/>
          <w:lang w:val="ka-GE"/>
        </w:rPr>
        <w:t xml:space="preserve"> ექიმ–სპეციალისტებს, რომლებსაც აქვთ </w:t>
      </w:r>
      <w:r w:rsidRPr="000E4AD1">
        <w:rPr>
          <w:rFonts w:ascii="Sylfaen" w:hAnsi="Sylfaen"/>
          <w:color w:val="0D0D0D" w:themeColor="text1" w:themeTint="F2"/>
          <w:lang w:val="ka-GE"/>
        </w:rPr>
        <w:t xml:space="preserve">6 თვიდან 1 წლამდე </w:t>
      </w:r>
      <w:r w:rsidRPr="000E4AD1">
        <w:rPr>
          <w:rFonts w:ascii="Sylfaen" w:hAnsi="Sylfaen" w:cs="Sylfaen"/>
          <w:color w:val="0D0D0D" w:themeColor="text1" w:themeTint="F2"/>
          <w:lang w:val="ka-GE"/>
        </w:rPr>
        <w:t xml:space="preserve">EMERGENCY–ში </w:t>
      </w:r>
      <w:r w:rsidRPr="000E4AD1">
        <w:rPr>
          <w:rFonts w:ascii="Sylfaen" w:hAnsi="Sylfaen"/>
          <w:color w:val="0D0D0D" w:themeColor="text1" w:themeTint="F2"/>
          <w:lang w:val="ka-GE"/>
        </w:rPr>
        <w:t xml:space="preserve">სამუშაო აქტივობა (2014 წლის 7 თებერვლამდე), </w:t>
      </w:r>
      <w:r w:rsidRPr="000E4AD1">
        <w:rPr>
          <w:rFonts w:ascii="Sylfaen" w:hAnsi="Sylfaen" w:cs="Sylfaen"/>
          <w:color w:val="0D0D0D" w:themeColor="text1" w:themeTint="F2"/>
          <w:lang w:val="ka-GE"/>
        </w:rPr>
        <w:t>შესაბამისი დარგობრივი პროფესიული ორგანიზაციის რეკომენდაციის არსებობის შემთხვევაში, მიეც</w:t>
      </w:r>
      <w:r w:rsidR="0054452E">
        <w:rPr>
          <w:rFonts w:ascii="Sylfaen" w:hAnsi="Sylfaen" w:cs="Sylfaen"/>
          <w:color w:val="0D0D0D" w:themeColor="text1" w:themeTint="F2"/>
          <w:lang w:val="ka-GE"/>
        </w:rPr>
        <w:t>ა</w:t>
      </w:r>
      <w:r w:rsidRPr="000E4AD1">
        <w:rPr>
          <w:rFonts w:ascii="Sylfaen" w:hAnsi="Sylfaen" w:cs="Sylfaen"/>
          <w:color w:val="0D0D0D" w:themeColor="text1" w:themeTint="F2"/>
          <w:lang w:val="ka-GE"/>
        </w:rPr>
        <w:t>თ უფლება დაშვებულ იქნან სახელმწიფო სასერტიფიკაციო გამოცდაზე, სპეციალობაში „გადაუდებელი მედიცინა“ და „ბავშვთა გადაუდებელი მედიცინა“.</w:t>
      </w:r>
    </w:p>
    <w:p w:rsidR="00375CAB" w:rsidRPr="000E4AD1" w:rsidRDefault="00375CAB" w:rsidP="002D4462">
      <w:pPr>
        <w:ind w:firstLine="360"/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color w:val="0D0D0D" w:themeColor="text1" w:themeTint="F2"/>
          <w:lang w:val="ka-GE"/>
        </w:rPr>
        <w:t xml:space="preserve">საგამოცდო კომისიაზე წარმოსადგენი დოკუმენტების ნუსხა: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 xml:space="preserve">პირადობის დამადასტურებელი მოწმობა (დედანი და  </w:t>
      </w:r>
      <w:r w:rsidRPr="000E4AD1">
        <w:rPr>
          <w:rFonts w:ascii="Sylfaen" w:hAnsi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it-IT"/>
        </w:rPr>
        <w:t>ასლი);</w:t>
      </w: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ფოტოსურათი (3 × 4);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უმაღლესი სამედიცინო განათლების დამადასტურებელი დოკუმენტი (დიპლომი – დედანი და   ასლი); </w:t>
      </w:r>
    </w:p>
    <w:p w:rsidR="00375CAB" w:rsidRPr="000E4AD1" w:rsidRDefault="00375CAB" w:rsidP="002D4462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sz w:val="24"/>
          <w:szCs w:val="24"/>
          <w:lang w:val="ka-GE"/>
        </w:rPr>
        <w:t xml:space="preserve">სახელმწიფო სერტიფიკატი (დედანი და ასლი); </w:t>
      </w:r>
    </w:p>
    <w:p w:rsidR="00375CAB" w:rsidRPr="000E4AD1" w:rsidRDefault="00375CAB" w:rsidP="002D4462">
      <w:pPr>
        <w:numPr>
          <w:ilvl w:val="0"/>
          <w:numId w:val="21"/>
        </w:numPr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შესაბამისი შრომითი ურთიერთობის დამადასტურებელი დოკუმენტი (დედანი და ნოტარიულად დამოწმებული ასლი, ჩანაწერით: ასლი დედანთან სწორია</w:t>
      </w:r>
      <w:r w:rsidR="00624EB0">
        <w:rPr>
          <w:rFonts w:ascii="Sylfaen" w:hAnsi="Sylfaen" w:cs="Sylfaen"/>
          <w:noProof/>
          <w:color w:val="0D0D0D" w:themeColor="text1" w:themeTint="F2"/>
          <w:lang w:val="ka-GE"/>
        </w:rPr>
        <w:t>/ცნობა</w:t>
      </w:r>
      <w:r w:rsidRPr="000E4AD1">
        <w:rPr>
          <w:rFonts w:ascii="Sylfaen" w:hAnsi="Sylfaen" w:cs="Sylfaen"/>
          <w:noProof/>
          <w:color w:val="0D0D0D" w:themeColor="text1" w:themeTint="F2"/>
          <w:lang w:val="ka-GE"/>
        </w:rPr>
        <w:t>);</w:t>
      </w:r>
    </w:p>
    <w:p w:rsidR="00375CAB" w:rsidRPr="000E4AD1" w:rsidRDefault="00375CAB" w:rsidP="002D4462">
      <w:pPr>
        <w:numPr>
          <w:ilvl w:val="0"/>
          <w:numId w:val="21"/>
        </w:numPr>
        <w:jc w:val="both"/>
        <w:rPr>
          <w:rFonts w:ascii="Sylfaen" w:hAnsi="Sylfaen" w:cs="Sylfaen"/>
          <w:color w:val="0D0D0D" w:themeColor="text1" w:themeTint="F2"/>
          <w:lang w:val="ka-GE"/>
        </w:rPr>
      </w:pPr>
      <w:r w:rsidRPr="000E4AD1">
        <w:rPr>
          <w:rFonts w:ascii="Sylfaen" w:hAnsi="Sylfaen" w:cs="Sylfaen"/>
          <w:color w:val="0D0D0D" w:themeColor="text1" w:themeTint="F2"/>
          <w:lang w:val="ka-GE"/>
        </w:rPr>
        <w:t>შესაბამისი დარგობრივი პროფესიული ორგანიზაციის რეკომენდაცია (დედანი)</w:t>
      </w:r>
      <w:r w:rsidRPr="000E4AD1">
        <w:rPr>
          <w:rFonts w:ascii="Sylfaen" w:hAnsi="Sylfaen"/>
          <w:noProof/>
          <w:color w:val="0D0D0D" w:themeColor="text1" w:themeTint="F2"/>
          <w:lang w:val="ka-GE"/>
        </w:rPr>
        <w:t>.</w:t>
      </w:r>
    </w:p>
    <w:p w:rsidR="00A36CFF" w:rsidRDefault="00A36CFF" w:rsidP="002D4462">
      <w:pPr>
        <w:rPr>
          <w:rFonts w:ascii="Sylfaen" w:hAnsi="Sylfaen"/>
          <w:lang w:val="ka-GE"/>
        </w:rPr>
      </w:pPr>
    </w:p>
    <w:p w:rsidR="002049C7" w:rsidRPr="000E4AD1" w:rsidRDefault="002049C7" w:rsidP="002D4462">
      <w:pPr>
        <w:pStyle w:val="Header"/>
        <w:spacing w:after="0" w:line="240" w:lineRule="auto"/>
        <w:jc w:val="right"/>
        <w:rPr>
          <w:rFonts w:ascii="Sylfaen" w:hAnsi="Sylfaen" w:cs="Sylfaen"/>
          <w:color w:val="0D0D0D" w:themeColor="text1" w:themeTint="F2"/>
          <w:sz w:val="24"/>
          <w:szCs w:val="24"/>
          <w:lang w:val="ka-GE"/>
        </w:rPr>
      </w:pPr>
    </w:p>
    <w:p w:rsidR="002049C7" w:rsidRPr="000E4AD1" w:rsidRDefault="002049C7" w:rsidP="002D4462">
      <w:pPr>
        <w:ind w:firstLine="357"/>
        <w:jc w:val="both"/>
        <w:rPr>
          <w:rFonts w:ascii="Sylfaen" w:hAnsi="Sylfaen"/>
          <w:b/>
          <w:noProof/>
          <w:color w:val="0D0D0D" w:themeColor="text1" w:themeTint="F2"/>
          <w:lang w:val="ka-GE"/>
        </w:rPr>
      </w:pPr>
    </w:p>
    <w:p w:rsidR="002049C7" w:rsidRPr="002049C7" w:rsidRDefault="002049C7" w:rsidP="002D4462">
      <w:pPr>
        <w:rPr>
          <w:rFonts w:ascii="Sylfaen" w:hAnsi="Sylfaen"/>
          <w:lang w:val="ka-GE"/>
        </w:rPr>
      </w:pPr>
    </w:p>
    <w:sectPr w:rsidR="002049C7" w:rsidRPr="002049C7" w:rsidSect="00BE0930">
      <w:footerReference w:type="default" r:id="rId9"/>
      <w:pgSz w:w="11906" w:h="16838"/>
      <w:pgMar w:top="990" w:right="1106" w:bottom="630" w:left="1080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A5" w:rsidRDefault="005117A5" w:rsidP="005C213F">
      <w:r>
        <w:separator/>
      </w:r>
    </w:p>
  </w:endnote>
  <w:endnote w:type="continuationSeparator" w:id="0">
    <w:p w:rsidR="005117A5" w:rsidRDefault="005117A5" w:rsidP="005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433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13F" w:rsidRDefault="005C2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3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13F" w:rsidRDefault="005C2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A5" w:rsidRDefault="005117A5" w:rsidP="005C213F">
      <w:r>
        <w:separator/>
      </w:r>
    </w:p>
  </w:footnote>
  <w:footnote w:type="continuationSeparator" w:id="0">
    <w:p w:rsidR="005117A5" w:rsidRDefault="005117A5" w:rsidP="005C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2A1"/>
    <w:multiLevelType w:val="hybridMultilevel"/>
    <w:tmpl w:val="963AA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09FF"/>
    <w:multiLevelType w:val="hybridMultilevel"/>
    <w:tmpl w:val="5344F346"/>
    <w:lvl w:ilvl="0" w:tplc="7DEAEC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0AC0160"/>
    <w:multiLevelType w:val="hybridMultilevel"/>
    <w:tmpl w:val="FCB8C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5003C5"/>
    <w:multiLevelType w:val="hybridMultilevel"/>
    <w:tmpl w:val="87541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20A6C1E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0C5FD6"/>
    <w:multiLevelType w:val="hybridMultilevel"/>
    <w:tmpl w:val="9DFAE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8623B"/>
    <w:multiLevelType w:val="hybridMultilevel"/>
    <w:tmpl w:val="9D60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35D55"/>
    <w:multiLevelType w:val="hybridMultilevel"/>
    <w:tmpl w:val="11EE1BB0"/>
    <w:lvl w:ilvl="0" w:tplc="86CA7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937060"/>
    <w:multiLevelType w:val="hybridMultilevel"/>
    <w:tmpl w:val="D1B22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120A6C1E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519C1"/>
    <w:multiLevelType w:val="hybridMultilevel"/>
    <w:tmpl w:val="787A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86DC0"/>
    <w:multiLevelType w:val="hybridMultilevel"/>
    <w:tmpl w:val="45E2587E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120A6C1E">
      <w:start w:val="9"/>
      <w:numFmt w:val="decimal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1DC827F5"/>
    <w:multiLevelType w:val="hybridMultilevel"/>
    <w:tmpl w:val="3A8A2512"/>
    <w:lvl w:ilvl="0" w:tplc="5A8E58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016804"/>
    <w:multiLevelType w:val="hybridMultilevel"/>
    <w:tmpl w:val="37CAC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8448A"/>
    <w:multiLevelType w:val="hybridMultilevel"/>
    <w:tmpl w:val="39E0CFC2"/>
    <w:lvl w:ilvl="0" w:tplc="04CED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F07FA"/>
    <w:multiLevelType w:val="hybridMultilevel"/>
    <w:tmpl w:val="4AF4F980"/>
    <w:lvl w:ilvl="0" w:tplc="3A46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87410D"/>
    <w:multiLevelType w:val="hybridMultilevel"/>
    <w:tmpl w:val="B1605A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44C0664"/>
    <w:multiLevelType w:val="hybridMultilevel"/>
    <w:tmpl w:val="DA9E5A1E"/>
    <w:lvl w:ilvl="0" w:tplc="F41C9B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2F25C2"/>
    <w:multiLevelType w:val="hybridMultilevel"/>
    <w:tmpl w:val="7E806948"/>
    <w:lvl w:ilvl="0" w:tplc="7DE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A944F3"/>
    <w:multiLevelType w:val="hybridMultilevel"/>
    <w:tmpl w:val="E20A5F38"/>
    <w:lvl w:ilvl="0" w:tplc="BF802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CA83748"/>
    <w:multiLevelType w:val="hybridMultilevel"/>
    <w:tmpl w:val="22E4F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AB1480"/>
    <w:multiLevelType w:val="hybridMultilevel"/>
    <w:tmpl w:val="A434F30C"/>
    <w:lvl w:ilvl="0" w:tplc="B17A1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003F8"/>
    <w:multiLevelType w:val="hybridMultilevel"/>
    <w:tmpl w:val="8A464660"/>
    <w:lvl w:ilvl="0" w:tplc="7DE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3B3C26"/>
    <w:multiLevelType w:val="hybridMultilevel"/>
    <w:tmpl w:val="5E92A210"/>
    <w:lvl w:ilvl="0" w:tplc="5A8E5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A26D88"/>
    <w:multiLevelType w:val="hybridMultilevel"/>
    <w:tmpl w:val="B484BEE6"/>
    <w:lvl w:ilvl="0" w:tplc="C62E661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771EC2"/>
    <w:multiLevelType w:val="hybridMultilevel"/>
    <w:tmpl w:val="99F4A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F03C7"/>
    <w:multiLevelType w:val="hybridMultilevel"/>
    <w:tmpl w:val="0604462E"/>
    <w:lvl w:ilvl="0" w:tplc="BA747F4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60026A"/>
    <w:multiLevelType w:val="hybridMultilevel"/>
    <w:tmpl w:val="B472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46639"/>
    <w:multiLevelType w:val="hybridMultilevel"/>
    <w:tmpl w:val="F140B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323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tNusx" w:hAnsi="LitNusx" w:hint="default"/>
      </w:rPr>
    </w:lvl>
    <w:lvl w:ilvl="2" w:tplc="30327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tNusx" w:hAnsi="LitNusx" w:hint="default"/>
      </w:rPr>
    </w:lvl>
    <w:lvl w:ilvl="3" w:tplc="30407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tNusx" w:hAnsi="LitNusx" w:hint="default"/>
      </w:rPr>
    </w:lvl>
    <w:lvl w:ilvl="4" w:tplc="942CD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tNusx" w:hAnsi="LitNusx" w:hint="default"/>
      </w:rPr>
    </w:lvl>
    <w:lvl w:ilvl="5" w:tplc="9BB86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tNusx" w:hAnsi="LitNusx" w:hint="default"/>
      </w:rPr>
    </w:lvl>
    <w:lvl w:ilvl="6" w:tplc="0952E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tNusx" w:hAnsi="LitNusx" w:hint="default"/>
      </w:rPr>
    </w:lvl>
    <w:lvl w:ilvl="7" w:tplc="74E04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tNusx" w:hAnsi="LitNusx" w:hint="default"/>
      </w:rPr>
    </w:lvl>
    <w:lvl w:ilvl="8" w:tplc="663C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tNusx" w:hAnsi="LitNusx" w:hint="default"/>
      </w:rPr>
    </w:lvl>
  </w:abstractNum>
  <w:abstractNum w:abstractNumId="27">
    <w:nsid w:val="65DD22BF"/>
    <w:multiLevelType w:val="hybridMultilevel"/>
    <w:tmpl w:val="4DB44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564563"/>
    <w:multiLevelType w:val="hybridMultilevel"/>
    <w:tmpl w:val="6616E2E8"/>
    <w:lvl w:ilvl="0" w:tplc="7DE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94054D"/>
    <w:multiLevelType w:val="hybridMultilevel"/>
    <w:tmpl w:val="D77082C8"/>
    <w:lvl w:ilvl="0" w:tplc="B8E47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5C4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EC9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60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AF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8B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A3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6A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A0502A"/>
    <w:multiLevelType w:val="hybridMultilevel"/>
    <w:tmpl w:val="55143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6"/>
  </w:num>
  <w:num w:numId="4">
    <w:abstractNumId w:val="8"/>
  </w:num>
  <w:num w:numId="5">
    <w:abstractNumId w:val="28"/>
  </w:num>
  <w:num w:numId="6">
    <w:abstractNumId w:val="6"/>
  </w:num>
  <w:num w:numId="7">
    <w:abstractNumId w:val="21"/>
  </w:num>
  <w:num w:numId="8">
    <w:abstractNumId w:val="10"/>
  </w:num>
  <w:num w:numId="9">
    <w:abstractNumId w:val="17"/>
  </w:num>
  <w:num w:numId="10">
    <w:abstractNumId w:val="22"/>
  </w:num>
  <w:num w:numId="11">
    <w:abstractNumId w:val="23"/>
  </w:num>
  <w:num w:numId="12">
    <w:abstractNumId w:val="19"/>
  </w:num>
  <w:num w:numId="13">
    <w:abstractNumId w:val="20"/>
  </w:num>
  <w:num w:numId="14">
    <w:abstractNumId w:val="24"/>
  </w:num>
  <w:num w:numId="15">
    <w:abstractNumId w:val="1"/>
  </w:num>
  <w:num w:numId="16">
    <w:abstractNumId w:val="12"/>
  </w:num>
  <w:num w:numId="17">
    <w:abstractNumId w:val="27"/>
  </w:num>
  <w:num w:numId="18">
    <w:abstractNumId w:val="5"/>
  </w:num>
  <w:num w:numId="19">
    <w:abstractNumId w:val="25"/>
  </w:num>
  <w:num w:numId="20">
    <w:abstractNumId w:val="0"/>
  </w:num>
  <w:num w:numId="21">
    <w:abstractNumId w:val="16"/>
  </w:num>
  <w:num w:numId="22">
    <w:abstractNumId w:val="3"/>
  </w:num>
  <w:num w:numId="23">
    <w:abstractNumId w:val="7"/>
  </w:num>
  <w:num w:numId="24">
    <w:abstractNumId w:val="18"/>
  </w:num>
  <w:num w:numId="25">
    <w:abstractNumId w:val="1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</w:num>
  <w:num w:numId="29">
    <w:abstractNumId w:val="29"/>
  </w:num>
  <w:num w:numId="30">
    <w:abstractNumId w:val="30"/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0A"/>
    <w:rsid w:val="000076AA"/>
    <w:rsid w:val="00032996"/>
    <w:rsid w:val="000532F6"/>
    <w:rsid w:val="00064AA0"/>
    <w:rsid w:val="000724EC"/>
    <w:rsid w:val="000765F7"/>
    <w:rsid w:val="00077937"/>
    <w:rsid w:val="00087588"/>
    <w:rsid w:val="000B0C3D"/>
    <w:rsid w:val="000B11F8"/>
    <w:rsid w:val="000C4763"/>
    <w:rsid w:val="000C4AB3"/>
    <w:rsid w:val="000C5F64"/>
    <w:rsid w:val="000C7DA2"/>
    <w:rsid w:val="000E2326"/>
    <w:rsid w:val="000E3DA9"/>
    <w:rsid w:val="000F0713"/>
    <w:rsid w:val="0011260B"/>
    <w:rsid w:val="001227B8"/>
    <w:rsid w:val="0012490C"/>
    <w:rsid w:val="00125AD3"/>
    <w:rsid w:val="00132C85"/>
    <w:rsid w:val="00135DD1"/>
    <w:rsid w:val="00147D25"/>
    <w:rsid w:val="00152D85"/>
    <w:rsid w:val="001A4200"/>
    <w:rsid w:val="001A47EC"/>
    <w:rsid w:val="001B02B6"/>
    <w:rsid w:val="001B1781"/>
    <w:rsid w:val="001C40B4"/>
    <w:rsid w:val="001D244A"/>
    <w:rsid w:val="001F3348"/>
    <w:rsid w:val="001F407B"/>
    <w:rsid w:val="00202D88"/>
    <w:rsid w:val="002049C7"/>
    <w:rsid w:val="00210F68"/>
    <w:rsid w:val="002176E4"/>
    <w:rsid w:val="002212AC"/>
    <w:rsid w:val="0022477E"/>
    <w:rsid w:val="00230DD7"/>
    <w:rsid w:val="002372CD"/>
    <w:rsid w:val="002440D7"/>
    <w:rsid w:val="00246EAB"/>
    <w:rsid w:val="0025370C"/>
    <w:rsid w:val="002608AB"/>
    <w:rsid w:val="002A1DA8"/>
    <w:rsid w:val="002C1CB7"/>
    <w:rsid w:val="002D4462"/>
    <w:rsid w:val="002D6E5A"/>
    <w:rsid w:val="002E288C"/>
    <w:rsid w:val="002F4E73"/>
    <w:rsid w:val="0030341C"/>
    <w:rsid w:val="00325A97"/>
    <w:rsid w:val="0032616F"/>
    <w:rsid w:val="00365943"/>
    <w:rsid w:val="00365B68"/>
    <w:rsid w:val="003729CC"/>
    <w:rsid w:val="00375CAB"/>
    <w:rsid w:val="00384C8B"/>
    <w:rsid w:val="00386AD4"/>
    <w:rsid w:val="0038764F"/>
    <w:rsid w:val="00387EB2"/>
    <w:rsid w:val="003B3378"/>
    <w:rsid w:val="003C1F76"/>
    <w:rsid w:val="003C529E"/>
    <w:rsid w:val="003C7A4C"/>
    <w:rsid w:val="003E1D94"/>
    <w:rsid w:val="003E5805"/>
    <w:rsid w:val="003E652E"/>
    <w:rsid w:val="003E7FAC"/>
    <w:rsid w:val="00404A6F"/>
    <w:rsid w:val="0041008C"/>
    <w:rsid w:val="00410D5E"/>
    <w:rsid w:val="00422D17"/>
    <w:rsid w:val="00427171"/>
    <w:rsid w:val="00427FB6"/>
    <w:rsid w:val="004414DF"/>
    <w:rsid w:val="0044258D"/>
    <w:rsid w:val="004474A7"/>
    <w:rsid w:val="00457085"/>
    <w:rsid w:val="004647E3"/>
    <w:rsid w:val="00467E80"/>
    <w:rsid w:val="004729A1"/>
    <w:rsid w:val="00472E06"/>
    <w:rsid w:val="00476AC9"/>
    <w:rsid w:val="004807A7"/>
    <w:rsid w:val="00484052"/>
    <w:rsid w:val="004B4B10"/>
    <w:rsid w:val="004C0252"/>
    <w:rsid w:val="004C39B5"/>
    <w:rsid w:val="004D3D52"/>
    <w:rsid w:val="004F4F5D"/>
    <w:rsid w:val="005117A5"/>
    <w:rsid w:val="00542257"/>
    <w:rsid w:val="0054452E"/>
    <w:rsid w:val="00550D67"/>
    <w:rsid w:val="00562353"/>
    <w:rsid w:val="00576461"/>
    <w:rsid w:val="005764B5"/>
    <w:rsid w:val="0058191F"/>
    <w:rsid w:val="005823C0"/>
    <w:rsid w:val="005A4437"/>
    <w:rsid w:val="005A5A91"/>
    <w:rsid w:val="005A6772"/>
    <w:rsid w:val="005C0FE0"/>
    <w:rsid w:val="005C17F3"/>
    <w:rsid w:val="005C213F"/>
    <w:rsid w:val="005E5B3E"/>
    <w:rsid w:val="005F6988"/>
    <w:rsid w:val="005F7998"/>
    <w:rsid w:val="006023A4"/>
    <w:rsid w:val="00613E5C"/>
    <w:rsid w:val="00624EB0"/>
    <w:rsid w:val="00634E26"/>
    <w:rsid w:val="006354E2"/>
    <w:rsid w:val="006643C2"/>
    <w:rsid w:val="00664620"/>
    <w:rsid w:val="00665C2C"/>
    <w:rsid w:val="00667BFE"/>
    <w:rsid w:val="00692D5B"/>
    <w:rsid w:val="00694BA7"/>
    <w:rsid w:val="006A2792"/>
    <w:rsid w:val="006A65C2"/>
    <w:rsid w:val="006A6967"/>
    <w:rsid w:val="006D5929"/>
    <w:rsid w:val="006E2685"/>
    <w:rsid w:val="006E7BFA"/>
    <w:rsid w:val="00717110"/>
    <w:rsid w:val="00722587"/>
    <w:rsid w:val="00724B62"/>
    <w:rsid w:val="0073110A"/>
    <w:rsid w:val="00736DC0"/>
    <w:rsid w:val="00736FC5"/>
    <w:rsid w:val="00737E74"/>
    <w:rsid w:val="00742C2E"/>
    <w:rsid w:val="00747D92"/>
    <w:rsid w:val="00752EF2"/>
    <w:rsid w:val="00797DAA"/>
    <w:rsid w:val="007A4E2E"/>
    <w:rsid w:val="007C35C1"/>
    <w:rsid w:val="007D2298"/>
    <w:rsid w:val="007D34C6"/>
    <w:rsid w:val="007E5E64"/>
    <w:rsid w:val="007F1D49"/>
    <w:rsid w:val="007F2B72"/>
    <w:rsid w:val="00852D6F"/>
    <w:rsid w:val="008629D7"/>
    <w:rsid w:val="00884793"/>
    <w:rsid w:val="008940F7"/>
    <w:rsid w:val="00897F2A"/>
    <w:rsid w:val="008B770B"/>
    <w:rsid w:val="008D0C92"/>
    <w:rsid w:val="008E2197"/>
    <w:rsid w:val="008F59F5"/>
    <w:rsid w:val="009074AF"/>
    <w:rsid w:val="00907B34"/>
    <w:rsid w:val="00907E7C"/>
    <w:rsid w:val="00925F68"/>
    <w:rsid w:val="00940DA2"/>
    <w:rsid w:val="00953A7B"/>
    <w:rsid w:val="009840DA"/>
    <w:rsid w:val="00987F35"/>
    <w:rsid w:val="009948F6"/>
    <w:rsid w:val="00996BC6"/>
    <w:rsid w:val="009B0828"/>
    <w:rsid w:val="009B46B4"/>
    <w:rsid w:val="009C2339"/>
    <w:rsid w:val="009E1338"/>
    <w:rsid w:val="009F7205"/>
    <w:rsid w:val="00A01361"/>
    <w:rsid w:val="00A20362"/>
    <w:rsid w:val="00A21223"/>
    <w:rsid w:val="00A30753"/>
    <w:rsid w:val="00A3299C"/>
    <w:rsid w:val="00A36CFF"/>
    <w:rsid w:val="00A40581"/>
    <w:rsid w:val="00A5563E"/>
    <w:rsid w:val="00A661C6"/>
    <w:rsid w:val="00A6631B"/>
    <w:rsid w:val="00A7014B"/>
    <w:rsid w:val="00A77A6A"/>
    <w:rsid w:val="00A96B21"/>
    <w:rsid w:val="00AA403E"/>
    <w:rsid w:val="00AB14FC"/>
    <w:rsid w:val="00AB3C6A"/>
    <w:rsid w:val="00AD1182"/>
    <w:rsid w:val="00AD7967"/>
    <w:rsid w:val="00AE6D95"/>
    <w:rsid w:val="00AE7483"/>
    <w:rsid w:val="00B45AA2"/>
    <w:rsid w:val="00B500F8"/>
    <w:rsid w:val="00B55A42"/>
    <w:rsid w:val="00B7289A"/>
    <w:rsid w:val="00B90BBB"/>
    <w:rsid w:val="00B91D11"/>
    <w:rsid w:val="00BB6911"/>
    <w:rsid w:val="00BC3221"/>
    <w:rsid w:val="00BD79F9"/>
    <w:rsid w:val="00BE0930"/>
    <w:rsid w:val="00BF714D"/>
    <w:rsid w:val="00C0742A"/>
    <w:rsid w:val="00C2435C"/>
    <w:rsid w:val="00C245FD"/>
    <w:rsid w:val="00C321B5"/>
    <w:rsid w:val="00C32BA2"/>
    <w:rsid w:val="00C4417B"/>
    <w:rsid w:val="00C457D6"/>
    <w:rsid w:val="00C53D10"/>
    <w:rsid w:val="00C66013"/>
    <w:rsid w:val="00C7248A"/>
    <w:rsid w:val="00C77FF4"/>
    <w:rsid w:val="00C81E62"/>
    <w:rsid w:val="00CB5AB4"/>
    <w:rsid w:val="00CD165C"/>
    <w:rsid w:val="00CD2F7A"/>
    <w:rsid w:val="00CE4B48"/>
    <w:rsid w:val="00CE7B8A"/>
    <w:rsid w:val="00CF2B2A"/>
    <w:rsid w:val="00D06F13"/>
    <w:rsid w:val="00D0774B"/>
    <w:rsid w:val="00D44B19"/>
    <w:rsid w:val="00D55C6D"/>
    <w:rsid w:val="00D651EF"/>
    <w:rsid w:val="00D6731A"/>
    <w:rsid w:val="00D81F22"/>
    <w:rsid w:val="00D86DFE"/>
    <w:rsid w:val="00DB021A"/>
    <w:rsid w:val="00DF0FEF"/>
    <w:rsid w:val="00DF2273"/>
    <w:rsid w:val="00DF6700"/>
    <w:rsid w:val="00E1259A"/>
    <w:rsid w:val="00E137D8"/>
    <w:rsid w:val="00E2412B"/>
    <w:rsid w:val="00E40C90"/>
    <w:rsid w:val="00E4250B"/>
    <w:rsid w:val="00E43C9D"/>
    <w:rsid w:val="00E479A0"/>
    <w:rsid w:val="00E72CDF"/>
    <w:rsid w:val="00E732A3"/>
    <w:rsid w:val="00E77A39"/>
    <w:rsid w:val="00E95F63"/>
    <w:rsid w:val="00E9618A"/>
    <w:rsid w:val="00E96310"/>
    <w:rsid w:val="00E97092"/>
    <w:rsid w:val="00E97CD2"/>
    <w:rsid w:val="00EC1A04"/>
    <w:rsid w:val="00ED47A5"/>
    <w:rsid w:val="00EE2B44"/>
    <w:rsid w:val="00EE4C6E"/>
    <w:rsid w:val="00F02437"/>
    <w:rsid w:val="00F12540"/>
    <w:rsid w:val="00F420EB"/>
    <w:rsid w:val="00F76AFB"/>
    <w:rsid w:val="00F95062"/>
    <w:rsid w:val="00FA5342"/>
    <w:rsid w:val="00FC29F4"/>
    <w:rsid w:val="00FD0012"/>
    <w:rsid w:val="00FD1ED1"/>
    <w:rsid w:val="00FD6A67"/>
    <w:rsid w:val="00FD79D3"/>
    <w:rsid w:val="00FF60F2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288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0A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1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2">
    <w:name w:val="List 2"/>
    <w:basedOn w:val="Normal"/>
    <w:rsid w:val="0073110A"/>
    <w:pPr>
      <w:ind w:left="720" w:hanging="36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2D5B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692D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692D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F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C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1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F2B72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288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10A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1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2">
    <w:name w:val="List 2"/>
    <w:basedOn w:val="Normal"/>
    <w:rsid w:val="0073110A"/>
    <w:pPr>
      <w:ind w:left="720" w:hanging="36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2D5B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692D5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692D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F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C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1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F2B7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9578-BF35-453B-B23B-D1E2B723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Khatuna Zaldastanishvili</cp:lastModifiedBy>
  <cp:revision>18</cp:revision>
  <cp:lastPrinted>2019-10-31T12:13:00Z</cp:lastPrinted>
  <dcterms:created xsi:type="dcterms:W3CDTF">2019-04-25T06:06:00Z</dcterms:created>
  <dcterms:modified xsi:type="dcterms:W3CDTF">2020-06-26T08:39:00Z</dcterms:modified>
</cp:coreProperties>
</file>